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pacing w:line="580" w:lineRule="exact"/>
        <w:jc w:val="left"/>
        <w:outlineLvl w:val="0"/>
        <w:rPr>
          <w:rFonts w:eastAsia="黑体"/>
          <w:bCs/>
          <w:kern w:val="44"/>
          <w:szCs w:val="44"/>
        </w:rPr>
      </w:pPr>
      <w:bookmarkStart w:id="16" w:name="_GoBack"/>
      <w:bookmarkEnd w:id="16"/>
    </w:p>
    <w:p>
      <w:pPr>
        <w:keepNext/>
        <w:keepLines/>
        <w:adjustRightInd w:val="0"/>
        <w:spacing w:line="580" w:lineRule="exact"/>
        <w:jc w:val="left"/>
        <w:outlineLvl w:val="0"/>
        <w:rPr>
          <w:rFonts w:ascii="Calibri" w:hAnsi="Calibri" w:eastAsia="黑体"/>
          <w:bCs/>
          <w:kern w:val="44"/>
          <w:szCs w:val="44"/>
        </w:rPr>
      </w:pPr>
      <w:r>
        <w:rPr>
          <w:rFonts w:hint="eastAsia" w:ascii="Calibri" w:hAnsi="Calibri" w:eastAsia="黑体"/>
          <w:bCs/>
          <w:kern w:val="44"/>
          <w:szCs w:val="44"/>
        </w:rPr>
        <w:t xml:space="preserve">附件                  </w:t>
      </w:r>
    </w:p>
    <w:p>
      <w:pPr>
        <w:spacing w:line="580" w:lineRule="exact"/>
        <w:jc w:val="center"/>
        <w:rPr>
          <w:rFonts w:ascii="宋体" w:hAnsi="宋体" w:eastAsia="宋体" w:cs="宋体"/>
          <w:b/>
          <w:color w:val="000000"/>
          <w:kern w:val="0"/>
          <w:sz w:val="44"/>
          <w:szCs w:val="44"/>
        </w:rPr>
      </w:pPr>
      <w:bookmarkStart w:id="0" w:name="_Toc28076_WPSOffice_Level1"/>
      <w:bookmarkStart w:id="1" w:name="_Toc2740_WPSOffice_Level1"/>
      <w:bookmarkStart w:id="2" w:name="_Toc27905_WPSOffice_Level1"/>
      <w:bookmarkStart w:id="3" w:name="_Toc18777_WPSOffice_Level1"/>
      <w:bookmarkStart w:id="4" w:name="_Toc32557_WPSOffice_Level1"/>
      <w:bookmarkStart w:id="5" w:name="_Toc28700_WPSOffice_Level1"/>
      <w:bookmarkStart w:id="6" w:name="_Toc26188_WPSOffice_Level1"/>
      <w:bookmarkStart w:id="7" w:name="_Toc4555_WPSOffice_Level1"/>
      <w:r>
        <w:rPr>
          <w:rFonts w:hint="eastAsia" w:ascii="宋体" w:hAnsi="宋体" w:eastAsia="宋体" w:cs="宋体"/>
          <w:b/>
          <w:color w:val="000000"/>
          <w:kern w:val="0"/>
          <w:sz w:val="44"/>
          <w:szCs w:val="44"/>
        </w:rPr>
        <w:t>医疗卫生机构向养老服务机构提供</w:t>
      </w:r>
      <w:bookmarkEnd w:id="0"/>
      <w:bookmarkEnd w:id="1"/>
      <w:bookmarkEnd w:id="2"/>
      <w:bookmarkEnd w:id="3"/>
      <w:bookmarkEnd w:id="4"/>
      <w:bookmarkEnd w:id="5"/>
      <w:bookmarkEnd w:id="6"/>
      <w:bookmarkEnd w:id="7"/>
    </w:p>
    <w:p>
      <w:pPr>
        <w:spacing w:line="580" w:lineRule="exact"/>
        <w:jc w:val="center"/>
        <w:rPr>
          <w:rFonts w:ascii="宋体" w:hAnsi="宋体" w:eastAsia="宋体" w:cs="宋体"/>
          <w:b/>
          <w:color w:val="000000"/>
          <w:kern w:val="0"/>
          <w:sz w:val="44"/>
          <w:szCs w:val="44"/>
        </w:rPr>
      </w:pPr>
      <w:bookmarkStart w:id="8" w:name="_Toc16513_WPSOffice_Level1"/>
      <w:bookmarkStart w:id="9" w:name="_Toc3380_WPSOffice_Level1"/>
      <w:bookmarkStart w:id="10" w:name="_Toc745_WPSOffice_Level1"/>
      <w:bookmarkStart w:id="11" w:name="_Toc14319_WPSOffice_Level1"/>
      <w:bookmarkStart w:id="12" w:name="_Toc1003_WPSOffice_Level1"/>
      <w:bookmarkStart w:id="13" w:name="_Toc15478_WPSOffice_Level1"/>
      <w:bookmarkStart w:id="14" w:name="_Toc30860_WPSOffice_Level1"/>
      <w:bookmarkStart w:id="15" w:name="_Toc6305_WPSOffice_Level1"/>
      <w:r>
        <w:rPr>
          <w:rFonts w:hint="eastAsia" w:ascii="宋体" w:hAnsi="宋体" w:eastAsia="宋体" w:cs="宋体"/>
          <w:b/>
          <w:color w:val="000000"/>
          <w:kern w:val="0"/>
          <w:sz w:val="44"/>
          <w:szCs w:val="44"/>
        </w:rPr>
        <w:t>协议医疗卫生服务项目（推荐）</w:t>
      </w:r>
      <w:bookmarkEnd w:id="8"/>
      <w:bookmarkEnd w:id="9"/>
      <w:bookmarkEnd w:id="10"/>
      <w:bookmarkEnd w:id="11"/>
      <w:bookmarkEnd w:id="12"/>
      <w:bookmarkEnd w:id="13"/>
      <w:bookmarkEnd w:id="14"/>
      <w:bookmarkEnd w:id="15"/>
    </w:p>
    <w:p>
      <w:pPr>
        <w:spacing w:line="360" w:lineRule="auto"/>
        <w:jc w:val="left"/>
        <w:rPr>
          <w:rFonts w:ascii="黑体" w:hAnsi="黑体" w:eastAsia="黑体" w:cs="黑体"/>
          <w:bCs/>
          <w:color w:val="000000"/>
          <w:kern w:val="0"/>
          <w:szCs w:val="32"/>
        </w:rPr>
      </w:pP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359"/>
        <w:gridCol w:w="530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widowControl/>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序号</w:t>
            </w:r>
          </w:p>
        </w:tc>
        <w:tc>
          <w:tcPr>
            <w:tcW w:w="1359" w:type="dxa"/>
            <w:vAlign w:val="center"/>
          </w:tcPr>
          <w:p>
            <w:pPr>
              <w:widowControl/>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项  目</w:t>
            </w:r>
          </w:p>
        </w:tc>
        <w:tc>
          <w:tcPr>
            <w:tcW w:w="5303" w:type="dxa"/>
            <w:vAlign w:val="center"/>
          </w:tcPr>
          <w:p>
            <w:pPr>
              <w:widowControl/>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服务内容</w:t>
            </w:r>
          </w:p>
        </w:tc>
        <w:tc>
          <w:tcPr>
            <w:tcW w:w="2126" w:type="dxa"/>
            <w:vAlign w:val="center"/>
          </w:tcPr>
          <w:p>
            <w:pPr>
              <w:widowControl/>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2" w:type="dxa"/>
            <w:vMerge w:val="restart"/>
            <w:vAlign w:val="center"/>
          </w:tcPr>
          <w:p>
            <w:pPr>
              <w:spacing w:line="400" w:lineRule="exact"/>
              <w:jc w:val="center"/>
              <w:rPr>
                <w:rFonts w:ascii="仿宋_GB2312" w:hAnsi="仿宋_GB2312" w:cs="仿宋_GB2312"/>
                <w:color w:val="000000"/>
                <w:sz w:val="28"/>
                <w:szCs w:val="28"/>
              </w:rPr>
            </w:pPr>
            <w:r>
              <w:rPr>
                <w:rFonts w:hint="eastAsia" w:ascii="黑体" w:hAnsi="黑体" w:eastAsia="黑体" w:cs="黑体"/>
                <w:bCs/>
                <w:color w:val="000000"/>
                <w:kern w:val="0"/>
                <w:sz w:val="28"/>
                <w:szCs w:val="28"/>
              </w:rPr>
              <w:t>1</w:t>
            </w:r>
          </w:p>
        </w:tc>
        <w:tc>
          <w:tcPr>
            <w:tcW w:w="1359" w:type="dxa"/>
            <w:vMerge w:val="restart"/>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基本公共卫生服务</w:t>
            </w:r>
          </w:p>
        </w:tc>
        <w:tc>
          <w:tcPr>
            <w:tcW w:w="5303" w:type="dxa"/>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（1）健康教育宣传和健康讲座。</w:t>
            </w:r>
          </w:p>
        </w:tc>
        <w:tc>
          <w:tcPr>
            <w:tcW w:w="2126" w:type="dxa"/>
            <w:vMerge w:val="restart"/>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基层医疗卫生机构基本项目。</w:t>
            </w:r>
          </w:p>
          <w:p>
            <w:pPr>
              <w:spacing w:line="400" w:lineRule="exact"/>
              <w:rPr>
                <w:rFonts w:ascii="黑体" w:hAnsi="黑体" w:cs="黑体"/>
                <w:bCs/>
                <w:color w:val="000000"/>
                <w:kern w:val="0"/>
                <w:sz w:val="28"/>
                <w:szCs w:val="28"/>
              </w:rPr>
            </w:pPr>
            <w:r>
              <w:rPr>
                <w:rFonts w:hint="eastAsia" w:ascii="仿宋_GB2312" w:hAnsi="仿宋_GB2312" w:cs="仿宋_GB2312"/>
                <w:color w:val="000000"/>
                <w:kern w:val="0"/>
                <w:sz w:val="28"/>
                <w:szCs w:val="28"/>
              </w:rPr>
              <w:t>其中，健康体检1次/年。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仿宋_GB2312" w:hAnsi="仿宋_GB2312" w:cs="仿宋_GB2312"/>
                <w:color w:val="000000"/>
                <w:kern w:val="0"/>
                <w:sz w:val="28"/>
                <w:szCs w:val="28"/>
              </w:rPr>
            </w:pPr>
          </w:p>
        </w:tc>
        <w:tc>
          <w:tcPr>
            <w:tcW w:w="5303" w:type="dxa"/>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（2）健康体检：测量体重、身高、腰围、BMI等一般状况检测及分析，血常规、尿常规、肝功能、肾功能、空腹血糖、血脂、心电图检查和腹部B超检查及个性化检查项目。</w:t>
            </w:r>
          </w:p>
        </w:tc>
        <w:tc>
          <w:tcPr>
            <w:tcW w:w="2126" w:type="dxa"/>
            <w:vMerge w:val="continue"/>
            <w:vAlign w:val="center"/>
          </w:tcPr>
          <w:p>
            <w:pPr>
              <w:spacing w:line="400" w:lineRule="exact"/>
              <w:rPr>
                <w:rFonts w:ascii="黑体" w:hAnsi="黑体" w:cs="黑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仿宋_GB2312" w:hAnsi="仿宋_GB2312" w:cs="仿宋_GB2312"/>
                <w:color w:val="000000"/>
                <w:kern w:val="0"/>
                <w:sz w:val="28"/>
                <w:szCs w:val="28"/>
              </w:rPr>
            </w:pPr>
          </w:p>
        </w:tc>
        <w:tc>
          <w:tcPr>
            <w:tcW w:w="5303" w:type="dxa"/>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（3）建立健康档案。</w:t>
            </w:r>
          </w:p>
        </w:tc>
        <w:tc>
          <w:tcPr>
            <w:tcW w:w="2126" w:type="dxa"/>
            <w:vMerge w:val="continue"/>
            <w:vAlign w:val="center"/>
          </w:tcPr>
          <w:p>
            <w:pPr>
              <w:spacing w:line="400" w:lineRule="exact"/>
              <w:rPr>
                <w:rFonts w:ascii="黑体" w:hAnsi="黑体" w:eastAsia="黑体" w:cs="黑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仿宋_GB2312" w:hAnsi="仿宋_GB2312" w:cs="仿宋_GB2312"/>
                <w:color w:val="000000"/>
                <w:kern w:val="0"/>
                <w:sz w:val="28"/>
                <w:szCs w:val="28"/>
              </w:rPr>
            </w:pPr>
          </w:p>
        </w:tc>
        <w:tc>
          <w:tcPr>
            <w:tcW w:w="5303" w:type="dxa"/>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（4）健康管理服务：慢性病患者健康管理（高血压、糖尿病等）。中医药健康管理（中医体质辨识、中医药保健指导）。</w:t>
            </w:r>
          </w:p>
        </w:tc>
        <w:tc>
          <w:tcPr>
            <w:tcW w:w="2126" w:type="dxa"/>
            <w:vMerge w:val="continue"/>
            <w:vAlign w:val="center"/>
          </w:tcPr>
          <w:p>
            <w:pPr>
              <w:spacing w:line="400" w:lineRule="exact"/>
              <w:rPr>
                <w:rFonts w:ascii="黑体" w:hAnsi="黑体" w:eastAsia="黑体" w:cs="黑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仿宋_GB2312" w:hAnsi="仿宋_GB2312" w:cs="仿宋_GB2312"/>
                <w:color w:val="000000"/>
                <w:kern w:val="0"/>
                <w:sz w:val="28"/>
                <w:szCs w:val="28"/>
              </w:rPr>
            </w:pPr>
          </w:p>
        </w:tc>
        <w:tc>
          <w:tcPr>
            <w:tcW w:w="5303" w:type="dxa"/>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（5）为签约养老服务机构老年人提供疫苗接种健康指导，并根据国家和地方免疫规划，引导符合条件的老年人到当地预防接种门诊接受免疫规划疫苗接种服务。</w:t>
            </w:r>
          </w:p>
        </w:tc>
        <w:tc>
          <w:tcPr>
            <w:tcW w:w="2126" w:type="dxa"/>
            <w:vMerge w:val="continue"/>
            <w:vAlign w:val="center"/>
          </w:tcPr>
          <w:p>
            <w:pPr>
              <w:spacing w:line="400" w:lineRule="exact"/>
              <w:rPr>
                <w:rFonts w:ascii="黑体" w:hAnsi="黑体" w:eastAsia="黑体" w:cs="黑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仿宋_GB2312" w:hAnsi="仿宋_GB2312" w:cs="仿宋_GB2312"/>
                <w:color w:val="000000"/>
                <w:kern w:val="0"/>
                <w:sz w:val="28"/>
                <w:szCs w:val="28"/>
              </w:rPr>
            </w:pPr>
          </w:p>
        </w:tc>
        <w:tc>
          <w:tcPr>
            <w:tcW w:w="5303" w:type="dxa"/>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（6）老年健康与医养结合服务：血压测量、末梢血血糖检测、康复指导、护理技能指导、保健咨询、营养改善指导，每年两次；失能老年人健康评估与健康服务。</w:t>
            </w:r>
          </w:p>
        </w:tc>
        <w:tc>
          <w:tcPr>
            <w:tcW w:w="2126" w:type="dxa"/>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sz w:val="28"/>
                <w:szCs w:val="28"/>
              </w:rPr>
              <w:t>有条件的</w:t>
            </w:r>
            <w:r>
              <w:rPr>
                <w:rFonts w:hint="eastAsia" w:ascii="仿宋_GB2312" w:hAnsi="仿宋_GB2312" w:cs="仿宋_GB2312"/>
                <w:color w:val="000000"/>
                <w:kern w:val="0"/>
                <w:sz w:val="28"/>
                <w:szCs w:val="28"/>
              </w:rPr>
              <w:t>基层医疗卫生机构</w:t>
            </w:r>
            <w:r>
              <w:rPr>
                <w:rFonts w:hint="eastAsia" w:ascii="仿宋_GB2312" w:hAnsi="仿宋_GB2312" w:cs="仿宋_GB2312"/>
                <w:sz w:val="28"/>
                <w:szCs w:val="28"/>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2</w:t>
            </w:r>
          </w:p>
        </w:tc>
        <w:tc>
          <w:tcPr>
            <w:tcW w:w="1359" w:type="dxa"/>
            <w:vMerge w:val="restart"/>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color w:val="000000"/>
                <w:sz w:val="28"/>
                <w:szCs w:val="28"/>
              </w:rPr>
              <w:t>疾病诊疗服务</w:t>
            </w:r>
          </w:p>
        </w:tc>
        <w:tc>
          <w:tcPr>
            <w:tcW w:w="5303" w:type="dxa"/>
            <w:vAlign w:val="center"/>
          </w:tcPr>
          <w:p>
            <w:pPr>
              <w:spacing w:line="400" w:lineRule="exact"/>
              <w:rPr>
                <w:rFonts w:ascii="黑体" w:hAnsi="黑体" w:cs="黑体"/>
                <w:bCs/>
                <w:color w:val="000000"/>
                <w:kern w:val="0"/>
                <w:sz w:val="28"/>
                <w:szCs w:val="28"/>
              </w:rPr>
            </w:pPr>
            <w:r>
              <w:rPr>
                <w:rFonts w:hint="eastAsia" w:ascii="仿宋_GB2312" w:hAnsi="仿宋_GB2312" w:cs="仿宋_GB2312"/>
                <w:color w:val="000000"/>
                <w:sz w:val="28"/>
                <w:szCs w:val="28"/>
              </w:rPr>
              <w:t>提供常见病、多发病等疾病的诊治服务。</w:t>
            </w:r>
          </w:p>
        </w:tc>
        <w:tc>
          <w:tcPr>
            <w:tcW w:w="2126" w:type="dxa"/>
            <w:vAlign w:val="center"/>
          </w:tcPr>
          <w:p>
            <w:pPr>
              <w:spacing w:line="400" w:lineRule="exact"/>
              <w:rPr>
                <w:rFonts w:ascii="黑体" w:hAnsi="黑体" w:cs="黑体"/>
                <w:bCs/>
                <w:color w:val="000000"/>
                <w:kern w:val="0"/>
                <w:sz w:val="28"/>
                <w:szCs w:val="28"/>
              </w:rPr>
            </w:pPr>
            <w:r>
              <w:rPr>
                <w:rFonts w:hint="eastAsia" w:ascii="仿宋_GB2312" w:hAnsi="仿宋_GB2312" w:cs="仿宋_GB2312"/>
                <w:color w:val="000000"/>
                <w:kern w:val="0"/>
                <w:sz w:val="28"/>
                <w:szCs w:val="28"/>
              </w:rPr>
              <w:t>基本项目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仿宋_GB2312" w:hAnsi="仿宋_GB2312" w:cs="仿宋_GB2312"/>
                <w:color w:val="000000"/>
                <w:sz w:val="28"/>
                <w:szCs w:val="28"/>
              </w:rPr>
            </w:pP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为老年人提供家庭医生签约服务，为慢性病老年患者提供长期处方服务。</w:t>
            </w:r>
          </w:p>
        </w:tc>
        <w:tc>
          <w:tcPr>
            <w:tcW w:w="2126" w:type="dxa"/>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基层医疗卫生机构基本项目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3</w:t>
            </w:r>
          </w:p>
        </w:tc>
        <w:tc>
          <w:tcPr>
            <w:tcW w:w="1359" w:type="dxa"/>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color w:val="000000"/>
                <w:sz w:val="28"/>
                <w:szCs w:val="28"/>
              </w:rPr>
              <w:t>医疗康复服务</w:t>
            </w:r>
          </w:p>
        </w:tc>
        <w:tc>
          <w:tcPr>
            <w:tcW w:w="5303" w:type="dxa"/>
            <w:vAlign w:val="center"/>
          </w:tcPr>
          <w:p>
            <w:pPr>
              <w:spacing w:line="400" w:lineRule="exact"/>
              <w:rPr>
                <w:rFonts w:ascii="黑体" w:hAnsi="黑体" w:cs="黑体"/>
                <w:bCs/>
                <w:color w:val="000000"/>
                <w:kern w:val="0"/>
                <w:sz w:val="28"/>
                <w:szCs w:val="28"/>
              </w:rPr>
            </w:pPr>
            <w:r>
              <w:rPr>
                <w:rFonts w:hint="eastAsia" w:ascii="仿宋_GB2312" w:hAnsi="仿宋_GB2312" w:cs="仿宋_GB2312"/>
                <w:color w:val="000000"/>
                <w:sz w:val="28"/>
                <w:szCs w:val="28"/>
              </w:rPr>
              <w:t>提供专业的医疗康复服务。</w:t>
            </w:r>
          </w:p>
        </w:tc>
        <w:tc>
          <w:tcPr>
            <w:tcW w:w="2126" w:type="dxa"/>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color w:val="000000"/>
                <w:kern w:val="0"/>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4</w:t>
            </w:r>
          </w:p>
        </w:tc>
        <w:tc>
          <w:tcPr>
            <w:tcW w:w="1359"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医疗护理服务</w:t>
            </w:r>
          </w:p>
        </w:tc>
        <w:tc>
          <w:tcPr>
            <w:tcW w:w="5303" w:type="dxa"/>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提供专业医疗护理服务，开展老年护理需求评估。</w:t>
            </w:r>
          </w:p>
        </w:tc>
        <w:tc>
          <w:tcPr>
            <w:tcW w:w="2126" w:type="dxa"/>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852" w:type="dxa"/>
            <w:vMerge w:val="restart"/>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5</w:t>
            </w:r>
          </w:p>
        </w:tc>
        <w:tc>
          <w:tcPr>
            <w:tcW w:w="1359" w:type="dxa"/>
            <w:vMerge w:val="restart"/>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中医药服务</w:t>
            </w:r>
          </w:p>
        </w:tc>
        <w:tc>
          <w:tcPr>
            <w:tcW w:w="5303" w:type="dxa"/>
            <w:vAlign w:val="center"/>
          </w:tcPr>
          <w:p>
            <w:pPr>
              <w:spacing w:line="400" w:lineRule="exact"/>
              <w:rPr>
                <w:rFonts w:ascii="仿宋_GB2312" w:hAnsi="仿宋_GB2312" w:cs="仿宋_GB2312"/>
                <w:sz w:val="28"/>
                <w:szCs w:val="28"/>
              </w:rPr>
            </w:pPr>
            <w:r>
              <w:rPr>
                <w:rFonts w:hint="eastAsia" w:ascii="仿宋_GB2312" w:hAnsi="仿宋_GB2312" w:cs="仿宋_GB2312"/>
                <w:color w:val="000000"/>
                <w:sz w:val="28"/>
                <w:szCs w:val="28"/>
              </w:rPr>
              <w:t>提供中医诊疗、中医康复、中医健康状态辨识与评估、咨询指导、健康管理等服务。</w:t>
            </w:r>
          </w:p>
        </w:tc>
        <w:tc>
          <w:tcPr>
            <w:tcW w:w="2126" w:type="dxa"/>
            <w:vMerge w:val="restart"/>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仿宋_GB2312" w:hAnsi="仿宋_GB2312" w:cs="仿宋_GB2312"/>
                <w:color w:val="000000"/>
                <w:sz w:val="28"/>
                <w:szCs w:val="28"/>
              </w:rPr>
            </w:pPr>
          </w:p>
        </w:tc>
        <w:tc>
          <w:tcPr>
            <w:tcW w:w="5303" w:type="dxa"/>
            <w:vAlign w:val="center"/>
          </w:tcPr>
          <w:p>
            <w:pPr>
              <w:spacing w:line="400" w:lineRule="exact"/>
              <w:rPr>
                <w:rFonts w:ascii="仿宋_GB2312" w:hAnsi="仿宋_GB2312" w:cs="仿宋_GB2312"/>
                <w:sz w:val="28"/>
                <w:szCs w:val="28"/>
              </w:rPr>
            </w:pPr>
            <w:r>
              <w:rPr>
                <w:rFonts w:hint="eastAsia" w:ascii="仿宋_GB2312" w:hAnsi="仿宋_GB2312" w:cs="仿宋_GB2312"/>
                <w:color w:val="000000"/>
                <w:sz w:val="28"/>
                <w:szCs w:val="28"/>
              </w:rPr>
              <w:t>向工作人员提供中医药技能培训，推广普及中医保健技术及方法。</w:t>
            </w:r>
          </w:p>
        </w:tc>
        <w:tc>
          <w:tcPr>
            <w:tcW w:w="2126" w:type="dxa"/>
            <w:vMerge w:val="continue"/>
            <w:vAlign w:val="center"/>
          </w:tcPr>
          <w:p>
            <w:pPr>
              <w:spacing w:line="4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6</w:t>
            </w:r>
          </w:p>
        </w:tc>
        <w:tc>
          <w:tcPr>
            <w:tcW w:w="1359" w:type="dxa"/>
            <w:vAlign w:val="center"/>
          </w:tcPr>
          <w:p>
            <w:pPr>
              <w:widowControl/>
              <w:shd w:val="clear" w:color="auto" w:fill="FFFFFF"/>
              <w:adjustRightInd w:val="0"/>
              <w:snapToGrid w:val="0"/>
              <w:spacing w:before="100" w:beforeAutospacing="1" w:after="100" w:afterAutospacing="1" w:line="600" w:lineRule="exact"/>
              <w:jc w:val="left"/>
              <w:rPr>
                <w:rFonts w:ascii="仿宋_GB2312" w:hAnsi="仿宋_GB2312" w:cs="仿宋_GB2312"/>
                <w:color w:val="000000"/>
                <w:kern w:val="0"/>
                <w:sz w:val="28"/>
                <w:szCs w:val="28"/>
              </w:rPr>
            </w:pPr>
            <w:r>
              <w:rPr>
                <w:rFonts w:hint="eastAsia" w:ascii="仿宋_GB2312" w:hAnsi="仿宋_GB2312" w:cs="仿宋_GB2312"/>
                <w:color w:val="000000"/>
                <w:sz w:val="28"/>
                <w:szCs w:val="28"/>
              </w:rPr>
              <w:t>精神卫生服务</w:t>
            </w: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为有需求的老年人提供精神卫生或心理健康相关服务。</w:t>
            </w:r>
          </w:p>
        </w:tc>
        <w:tc>
          <w:tcPr>
            <w:tcW w:w="2126" w:type="dxa"/>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52" w:type="dxa"/>
            <w:vMerge w:val="restart"/>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7</w:t>
            </w:r>
          </w:p>
        </w:tc>
        <w:tc>
          <w:tcPr>
            <w:tcW w:w="1359" w:type="dxa"/>
            <w:vMerge w:val="restart"/>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安宁疗护服务</w:t>
            </w: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为生命终末期老年人提供症状控制、舒适照护、心理支持和人文关怀等服务。</w:t>
            </w:r>
          </w:p>
        </w:tc>
        <w:tc>
          <w:tcPr>
            <w:tcW w:w="2126" w:type="dxa"/>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仿宋_GB2312" w:hAnsi="仿宋_GB2312" w:cs="仿宋_GB2312"/>
                <w:color w:val="000000"/>
                <w:sz w:val="28"/>
                <w:szCs w:val="28"/>
              </w:rPr>
            </w:pP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对临终老年人家属进行情绪疏导、哀伤辅导等心理关怀服务。</w:t>
            </w:r>
          </w:p>
        </w:tc>
        <w:tc>
          <w:tcPr>
            <w:tcW w:w="2126" w:type="dxa"/>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8</w:t>
            </w:r>
          </w:p>
        </w:tc>
        <w:tc>
          <w:tcPr>
            <w:tcW w:w="1359"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家庭病床服务</w:t>
            </w:r>
          </w:p>
        </w:tc>
        <w:tc>
          <w:tcPr>
            <w:tcW w:w="5303" w:type="dxa"/>
            <w:vAlign w:val="center"/>
          </w:tcPr>
          <w:p>
            <w:pPr>
              <w:widowControl/>
              <w:shd w:val="clear" w:color="auto" w:fill="FFFFFF"/>
              <w:adjustRightInd w:val="0"/>
              <w:snapToGrid w:val="0"/>
              <w:spacing w:before="100" w:beforeAutospacing="1" w:after="100" w:afterAutospacing="1" w:line="600" w:lineRule="exact"/>
              <w:jc w:val="left"/>
              <w:rPr>
                <w:rFonts w:ascii="仿宋_GB2312" w:hAnsi="仿宋_GB2312" w:cs="仿宋_GB2312"/>
                <w:color w:val="000000"/>
                <w:kern w:val="0"/>
                <w:sz w:val="28"/>
                <w:szCs w:val="28"/>
              </w:rPr>
            </w:pPr>
            <w:r>
              <w:rPr>
                <w:rFonts w:hint="eastAsia" w:ascii="仿宋_GB2312" w:hAnsi="仿宋_GB2312" w:cs="仿宋_GB2312"/>
                <w:color w:val="000000"/>
                <w:sz w:val="28"/>
                <w:szCs w:val="28"/>
              </w:rPr>
              <w:t>在当地卫生健康行政部门的指导和规定下，在签约养老服务机构设立家庭病床。</w:t>
            </w:r>
          </w:p>
        </w:tc>
        <w:tc>
          <w:tcPr>
            <w:tcW w:w="2126" w:type="dxa"/>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有条件的</w:t>
            </w:r>
            <w:r>
              <w:rPr>
                <w:rFonts w:hint="eastAsia" w:ascii="仿宋_GB2312" w:hAnsi="仿宋_GB2312" w:cs="仿宋_GB2312"/>
                <w:color w:val="000000"/>
                <w:kern w:val="0"/>
                <w:sz w:val="28"/>
                <w:szCs w:val="28"/>
              </w:rPr>
              <w:t>基层医疗卫生机构</w:t>
            </w:r>
            <w:r>
              <w:rPr>
                <w:rFonts w:hint="eastAsia" w:ascii="仿宋_GB2312" w:hAnsi="仿宋_GB2312" w:cs="仿宋_GB2312"/>
                <w:sz w:val="28"/>
                <w:szCs w:val="28"/>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9</w:t>
            </w:r>
          </w:p>
        </w:tc>
        <w:tc>
          <w:tcPr>
            <w:tcW w:w="1359"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急诊急救绿色通道服务</w:t>
            </w: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提供急诊急救绿色通道，重点为急危重症患者提供相应服务。</w:t>
            </w:r>
          </w:p>
        </w:tc>
        <w:tc>
          <w:tcPr>
            <w:tcW w:w="2126" w:type="dxa"/>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10</w:t>
            </w:r>
          </w:p>
        </w:tc>
        <w:tc>
          <w:tcPr>
            <w:tcW w:w="1359"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双向转诊服务</w:t>
            </w: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建立双向转诊机制。</w:t>
            </w:r>
          </w:p>
        </w:tc>
        <w:tc>
          <w:tcPr>
            <w:tcW w:w="2126" w:type="dxa"/>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11</w:t>
            </w:r>
          </w:p>
        </w:tc>
        <w:tc>
          <w:tcPr>
            <w:tcW w:w="1359"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药事管理指导</w:t>
            </w:r>
          </w:p>
        </w:tc>
        <w:tc>
          <w:tcPr>
            <w:tcW w:w="5303" w:type="dxa"/>
            <w:vAlign w:val="center"/>
          </w:tcPr>
          <w:p>
            <w:pPr>
              <w:spacing w:line="400" w:lineRule="exac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为签约养老服务机构提供日常摆药、存储、质量管理等药事管理指导，为养老服务机构入住老年人提供合理用药指导。</w:t>
            </w:r>
          </w:p>
        </w:tc>
        <w:tc>
          <w:tcPr>
            <w:tcW w:w="2126" w:type="dxa"/>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52" w:type="dxa"/>
            <w:vMerge w:val="restart"/>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12</w:t>
            </w:r>
          </w:p>
        </w:tc>
        <w:tc>
          <w:tcPr>
            <w:tcW w:w="1359" w:type="dxa"/>
            <w:vMerge w:val="restart"/>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专业培训</w:t>
            </w: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组织签约养老机构内设医疗卫生机构的医务人员参加继续医学教育。</w:t>
            </w:r>
          </w:p>
        </w:tc>
        <w:tc>
          <w:tcPr>
            <w:tcW w:w="2126" w:type="dxa"/>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852" w:type="dxa"/>
            <w:vMerge w:val="continue"/>
            <w:vAlign w:val="center"/>
          </w:tcPr>
          <w:p>
            <w:pPr>
              <w:spacing w:line="400" w:lineRule="exact"/>
              <w:jc w:val="center"/>
              <w:rPr>
                <w:rFonts w:ascii="黑体" w:hAnsi="黑体" w:eastAsia="黑体" w:cs="黑体"/>
                <w:bCs/>
                <w:color w:val="000000"/>
                <w:kern w:val="0"/>
                <w:sz w:val="28"/>
                <w:szCs w:val="28"/>
              </w:rPr>
            </w:pPr>
          </w:p>
        </w:tc>
        <w:tc>
          <w:tcPr>
            <w:tcW w:w="1359" w:type="dxa"/>
            <w:vMerge w:val="continue"/>
            <w:vAlign w:val="center"/>
          </w:tcPr>
          <w:p>
            <w:pPr>
              <w:spacing w:line="400" w:lineRule="exact"/>
              <w:rPr>
                <w:rFonts w:ascii="黑体" w:hAnsi="黑体" w:eastAsia="黑体" w:cs="黑体"/>
                <w:bCs/>
                <w:color w:val="000000"/>
                <w:kern w:val="0"/>
                <w:sz w:val="28"/>
                <w:szCs w:val="28"/>
              </w:rPr>
            </w:pP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对签约养老服务机构的工作人员开展应急救护等医疗卫生专业知识和技能的专项培训。</w:t>
            </w:r>
          </w:p>
        </w:tc>
        <w:tc>
          <w:tcPr>
            <w:tcW w:w="2126" w:type="dxa"/>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13</w:t>
            </w:r>
          </w:p>
        </w:tc>
        <w:tc>
          <w:tcPr>
            <w:tcW w:w="1359"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传染病防控和院内感染风险防控指导</w:t>
            </w:r>
          </w:p>
        </w:tc>
        <w:tc>
          <w:tcPr>
            <w:tcW w:w="5303" w:type="dxa"/>
            <w:vAlign w:val="center"/>
          </w:tcPr>
          <w:p>
            <w:pPr>
              <w:spacing w:line="400" w:lineRule="exact"/>
              <w:rPr>
                <w:rFonts w:ascii="仿宋_GB2312" w:hAnsi="仿宋_GB2312" w:cs="仿宋_GB2312"/>
                <w:color w:val="000000"/>
                <w:sz w:val="28"/>
                <w:szCs w:val="28"/>
              </w:rPr>
            </w:pPr>
            <w:r>
              <w:rPr>
                <w:rFonts w:hint="eastAsia" w:ascii="仿宋_GB2312" w:hAnsi="仿宋_GB2312" w:cs="仿宋_GB2312"/>
                <w:color w:val="000000"/>
                <w:sz w:val="28"/>
                <w:szCs w:val="28"/>
              </w:rPr>
              <w:t>指导养老服务机构严格执行相关管理制度、操作规范，协助养老机构内设医疗机构医疗废弃物的规范处置。指导其加强机构内感染预防与控制工作，做好传染病防控、疫情监测信息报告等工作。</w:t>
            </w:r>
          </w:p>
        </w:tc>
        <w:tc>
          <w:tcPr>
            <w:tcW w:w="2126" w:type="dxa"/>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有条件的开展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852" w:type="dxa"/>
            <w:vAlign w:val="center"/>
          </w:tcPr>
          <w:p>
            <w:pPr>
              <w:spacing w:line="400" w:lineRule="exact"/>
              <w:jc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14</w:t>
            </w:r>
          </w:p>
        </w:tc>
        <w:tc>
          <w:tcPr>
            <w:tcW w:w="1359" w:type="dxa"/>
            <w:vAlign w:val="center"/>
          </w:tcPr>
          <w:p>
            <w:pPr>
              <w:spacing w:line="400" w:lineRule="exact"/>
              <w:rPr>
                <w:rFonts w:ascii="黑体" w:hAnsi="黑体" w:eastAsia="黑体" w:cs="黑体"/>
                <w:bCs/>
                <w:color w:val="000000"/>
                <w:kern w:val="0"/>
                <w:sz w:val="28"/>
                <w:szCs w:val="28"/>
              </w:rPr>
            </w:pPr>
            <w:r>
              <w:rPr>
                <w:rFonts w:hint="eastAsia" w:ascii="仿宋_GB2312" w:hAnsi="仿宋_GB2312" w:cs="仿宋_GB2312"/>
                <w:color w:val="000000"/>
                <w:sz w:val="28"/>
                <w:szCs w:val="28"/>
              </w:rPr>
              <w:t>远程医疗服务</w:t>
            </w:r>
          </w:p>
        </w:tc>
        <w:tc>
          <w:tcPr>
            <w:tcW w:w="5303" w:type="dxa"/>
            <w:vAlign w:val="center"/>
          </w:tcPr>
          <w:p>
            <w:pPr>
              <w:spacing w:line="400" w:lineRule="exact"/>
              <w:rPr>
                <w:rFonts w:hint="eastAsia" w:ascii="仿宋_GB2312" w:hAnsi="仿宋_GB2312" w:cs="仿宋_GB2312"/>
                <w:color w:val="000000"/>
                <w:sz w:val="28"/>
                <w:szCs w:val="28"/>
              </w:rPr>
            </w:pPr>
            <w:r>
              <w:rPr>
                <w:rFonts w:hint="eastAsia" w:ascii="仿宋_GB2312" w:hAnsi="仿宋_GB2312" w:cs="仿宋_GB2312"/>
                <w:color w:val="000000"/>
                <w:sz w:val="28"/>
                <w:szCs w:val="28"/>
              </w:rPr>
              <w:t>向养老机构内设医疗卫生机构提供远程医疗服务。</w:t>
            </w:r>
          </w:p>
        </w:tc>
        <w:tc>
          <w:tcPr>
            <w:tcW w:w="2126" w:type="dxa"/>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有条件的开展</w:t>
            </w:r>
          </w:p>
        </w:tc>
      </w:tr>
    </w:tbl>
    <w:p>
      <w:pPr>
        <w:tabs>
          <w:tab w:val="left" w:pos="1543"/>
        </w:tabs>
        <w:jc w:val="left"/>
        <w:rPr>
          <w:rFonts w:ascii="Calibri" w:hAnsi="Calibri" w:eastAsia="宋体"/>
          <w:sz w:val="21"/>
        </w:rPr>
      </w:pPr>
    </w:p>
    <w:p>
      <w:pPr>
        <w:rPr>
          <w:rFonts w:ascii="Calibri" w:hAnsi="Calibri" w:eastAsia="宋体"/>
          <w:sz w:val="21"/>
        </w:rPr>
      </w:pPr>
    </w:p>
    <w:p>
      <w:pPr>
        <w:rPr>
          <w:rFonts w:ascii="Calibri" w:hAnsi="Calibri" w:eastAsia="宋体"/>
          <w:sz w:val="21"/>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0F"/>
    <w:rsid w:val="005170AC"/>
    <w:rsid w:val="00A55D0F"/>
    <w:rsid w:val="00BD5A81"/>
    <w:rsid w:val="3F435D63"/>
    <w:rsid w:val="6D29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644</Words>
  <Characters>644</Characters>
  <Lines>30</Lines>
  <Paragraphs>14</Paragraphs>
  <TotalTime>2</TotalTime>
  <ScaleCrop>false</ScaleCrop>
  <LinksUpToDate>false</LinksUpToDate>
  <CharactersWithSpaces>1274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2020-12-18T10:01:00Z</dcterms:created>
  <dc:creator>任 晶</dc:creator>
  <cp:lastModifiedBy>大众健康之窗</cp:lastModifiedBy>
  <dcterms:modified xsi:type="dcterms:W3CDTF">2020-12-20T09:18:27Z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